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9862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18.05.2022                                                                                                                      № 481/2022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11408">
        <w:rPr>
          <w:rtl w:val="0"/>
          <w:lang w:val="en"/>
        </w:rPr>
        <w:t>20.05.2022.</w:t>
      </w:r>
    </w:p>
    <w:p w:rsidR="007869C0" w:rsidP="00EB59CE">
      <w:pPr>
        <w:widowControl w:val="0"/>
        <w:autoSpaceDE w:val="0"/>
        <w:autoSpaceDN w:val="0"/>
        <w:adjustRightInd w:val="0"/>
        <w:jc w:val="center"/>
        <w:rPr>
          <w:b/>
          <w:bCs/>
        </w:rPr>
      </w:pPr>
    </w:p>
    <w:p w:rsidR="00EA3918"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FB6756">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FB6756" w:rsidRPr="00FB6756" w:rsidP="00FB6756">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FB6756">
              <w:rPr>
                <w:rFonts w:ascii="Times New Roman" w:hAnsi="Times New Roman"/>
                <w:i/>
                <w:sz w:val="24"/>
                <w:szCs w:val="24"/>
                <w:rtl w:val="0"/>
                <w:lang w:val="en"/>
              </w:rPr>
              <w:t>On review of the annual financial (accounting) statements of the Company for 2021.</w:t>
            </w:r>
          </w:p>
        </w:tc>
      </w:tr>
      <w:tr w:rsidTr="00FB6756">
        <w:tblPrEx>
          <w:tblW w:w="9498" w:type="dxa"/>
          <w:tblLayout w:type="fixed"/>
          <w:tblLook w:val="04A0"/>
        </w:tblPrEx>
        <w:tc>
          <w:tcPr>
            <w:tcW w:w="9498" w:type="dxa"/>
          </w:tcPr>
          <w:p w:rsidR="00FB6756" w:rsidRPr="00FB6756" w:rsidP="00FB6756">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FB6756">
              <w:rPr>
                <w:rFonts w:ascii="Times New Roman" w:hAnsi="Times New Roman"/>
                <w:bCs/>
                <w:i/>
                <w:sz w:val="24"/>
                <w:szCs w:val="24"/>
                <w:rtl w:val="0"/>
                <w:lang w:val="en"/>
              </w:rPr>
              <w:t>On recommendations on the distribution of the Company's profit (losses) based on 2021 results.</w:t>
            </w:r>
          </w:p>
        </w:tc>
      </w:tr>
      <w:tr w:rsidTr="00FB6756">
        <w:tblPrEx>
          <w:tblW w:w="9498" w:type="dxa"/>
          <w:tblLayout w:type="fixed"/>
          <w:tblLook w:val="04A0"/>
        </w:tblPrEx>
        <w:tc>
          <w:tcPr>
            <w:tcW w:w="9498" w:type="dxa"/>
          </w:tcPr>
          <w:p w:rsidR="00FB6756" w:rsidRPr="00FB6756" w:rsidP="00FB6756">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FB6756">
              <w:rPr>
                <w:rFonts w:ascii="Times New Roman" w:hAnsi="Times New Roman"/>
                <w:i/>
                <w:sz w:val="24"/>
                <w:szCs w:val="24"/>
                <w:rtl w:val="0"/>
                <w:lang w:val="en"/>
              </w:rPr>
              <w:t>On recommendations on the amount of dividends on the Company's shares for 2021, the procedure for their payment and on proposals to the Annual General Meeting of Shareholders to determine the date on which persons entitled to receive dividends are determined.</w:t>
            </w:r>
          </w:p>
        </w:tc>
      </w:tr>
      <w:tr w:rsidTr="00FB6756">
        <w:tblPrEx>
          <w:tblW w:w="9498" w:type="dxa"/>
          <w:tblLayout w:type="fixed"/>
          <w:tblLook w:val="04A0"/>
        </w:tblPrEx>
        <w:tc>
          <w:tcPr>
            <w:tcW w:w="9498" w:type="dxa"/>
          </w:tcPr>
          <w:p w:rsidR="00FB6756" w:rsidRPr="00FB6756" w:rsidP="00FB6756">
            <w:pPr>
              <w:pStyle w:val="ListParagraph"/>
              <w:numPr>
                <w:ilvl w:val="0"/>
                <w:numId w:val="14"/>
              </w:numPr>
              <w:tabs>
                <w:tab w:val="left" w:pos="1164"/>
              </w:tabs>
              <w:bidi w:val="0"/>
              <w:spacing w:after="0" w:line="240" w:lineRule="auto"/>
              <w:ind w:left="0" w:firstLine="597"/>
              <w:jc w:val="both"/>
              <w:rPr>
                <w:rFonts w:ascii="Times New Roman" w:hAnsi="Times New Roman"/>
                <w:bCs/>
                <w:i/>
                <w:sz w:val="24"/>
                <w:szCs w:val="24"/>
              </w:rPr>
            </w:pPr>
            <w:r w:rsidRPr="00FB6756">
              <w:rPr>
                <w:rFonts w:ascii="Times New Roman" w:hAnsi="Times New Roman"/>
                <w:bCs/>
                <w:i/>
                <w:sz w:val="24"/>
                <w:szCs w:val="24"/>
                <w:rtl w:val="0"/>
                <w:lang w:val="en"/>
              </w:rPr>
              <w:t>On proposals to the Annual General Meeting of the Company's Shareholders on the issue “On approval of the Regulations on the Audit Commission of the Company in a new edition.</w:t>
            </w:r>
          </w:p>
          <w:p w:rsidR="00FB6756" w:rsidRPr="00FB6756" w:rsidP="00FB6756">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FB6756">
              <w:rPr>
                <w:rFonts w:ascii="Times New Roman" w:hAnsi="Times New Roman"/>
                <w:bCs/>
                <w:i/>
                <w:sz w:val="24"/>
                <w:szCs w:val="24"/>
                <w:rtl w:val="0"/>
                <w:lang w:val="en"/>
              </w:rPr>
              <w:t>On proposals to the annual General Meeting of Shareholders of the Company on the candidature of the Company's auditor.</w:t>
            </w:r>
          </w:p>
        </w:tc>
      </w:tr>
      <w:tr w:rsidTr="00FB6756">
        <w:tblPrEx>
          <w:tblW w:w="9498" w:type="dxa"/>
          <w:tblLayout w:type="fixed"/>
          <w:tblLook w:val="04A0"/>
        </w:tblPrEx>
        <w:tc>
          <w:tcPr>
            <w:tcW w:w="9498" w:type="dxa"/>
          </w:tcPr>
          <w:p w:rsidR="00FB6756" w:rsidRPr="00FB6756" w:rsidP="00FB6756">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FB6756">
              <w:rPr>
                <w:rFonts w:ascii="Times New Roman" w:hAnsi="Times New Roman"/>
                <w:bCs/>
                <w:i/>
                <w:sz w:val="24"/>
                <w:szCs w:val="24"/>
                <w:rtl w:val="0"/>
                <w:lang w:val="en"/>
              </w:rPr>
              <w:t>On approval of the form and text of voting ballots at the Annual General Meeting of Shareholders, as well as the wording of resolutions on agenda items of the Annual General Meeting of Shareholders, which shall be sent in electronic form (in the form of electronic documents) to nominee shareholders registered in the register of shareholders of the Company.</w:t>
            </w:r>
          </w:p>
        </w:tc>
      </w:tr>
      <w:tr w:rsidTr="00FB6756">
        <w:tblPrEx>
          <w:tblW w:w="9498" w:type="dxa"/>
          <w:tblLayout w:type="fixed"/>
          <w:tblLook w:val="04A0"/>
        </w:tblPrEx>
        <w:tc>
          <w:tcPr>
            <w:tcW w:w="9498" w:type="dxa"/>
          </w:tcPr>
          <w:p w:rsidR="00FB6756" w:rsidRPr="00FB6756" w:rsidP="00FB6756">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FB6756">
              <w:rPr>
                <w:rFonts w:ascii="Times New Roman" w:hAnsi="Times New Roman"/>
                <w:bCs/>
                <w:i/>
                <w:sz w:val="24"/>
                <w:szCs w:val="24"/>
                <w:rtl w:val="0"/>
                <w:lang w:val="en"/>
              </w:rPr>
              <w:t>On determining the date of sending voting ballots to persons entitled to participate in the Annual General Meeting of Shareholders, the address to which completed voting ballots may be sent, and the deadline for accepting completed ballots.</w:t>
            </w:r>
          </w:p>
        </w:tc>
      </w:tr>
    </w:tbl>
    <w:p w:rsidR="00515DF7" w:rsidP="00762A98">
      <w:pPr>
        <w:tabs>
          <w:tab w:val="left" w:pos="709"/>
        </w:tabs>
        <w:ind w:firstLine="567"/>
        <w:jc w:val="both"/>
        <w:rPr>
          <w:bCs/>
          <w:i/>
        </w:rPr>
      </w:pPr>
    </w:p>
    <w:p w:rsidR="00713650" w:rsidP="00762A98">
      <w:pPr>
        <w:tabs>
          <w:tab w:val="left" w:pos="709"/>
        </w:tabs>
        <w:ind w:firstLine="567"/>
        <w:jc w:val="both"/>
        <w:rPr>
          <w:bCs/>
          <w:i/>
        </w:rPr>
      </w:pPr>
    </w:p>
    <w:p w:rsidR="00A42141" w:rsidP="00762A98">
      <w:pPr>
        <w:tabs>
          <w:tab w:val="left" w:pos="709"/>
        </w:tabs>
        <w:ind w:firstLine="567"/>
        <w:jc w:val="both"/>
        <w:rPr>
          <w:bCs/>
          <w:i/>
        </w:rPr>
      </w:pPr>
    </w:p>
    <w:p w:rsidR="00FB6756" w:rsidRPr="00E62127" w:rsidP="00FB6756">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1: </w:t>
      </w:r>
      <w:r w:rsidRPr="00544D1A">
        <w:rPr>
          <w:rFonts w:eastAsia="Calibri"/>
          <w:b/>
          <w:rtl w:val="0"/>
          <w:lang w:val="en"/>
        </w:rPr>
        <w:t>On review of the annual financial (accounting) statements of the Company for 2021.</w:t>
      </w:r>
    </w:p>
    <w:p w:rsidR="00FB6756" w:rsidP="00FB6756">
      <w:pPr>
        <w:widowControl w:val="0"/>
        <w:tabs>
          <w:tab w:val="left" w:pos="709"/>
          <w:tab w:val="left" w:pos="851"/>
          <w:tab w:val="left" w:pos="993"/>
          <w:tab w:val="left" w:pos="1134"/>
        </w:tabs>
        <w:bidi w:val="0"/>
        <w:jc w:val="both"/>
        <w:rPr>
          <w:b/>
        </w:rPr>
      </w:pPr>
      <w:r w:rsidRPr="00BE449A">
        <w:rPr>
          <w:b/>
          <w:rtl w:val="0"/>
          <w:lang w:val="en"/>
        </w:rPr>
        <w:t>DECISION:</w:t>
      </w:r>
    </w:p>
    <w:p w:rsidR="00FB6756" w:rsidRPr="00CA63DF" w:rsidP="00FB6756">
      <w:pPr>
        <w:tabs>
          <w:tab w:val="left" w:pos="1134"/>
        </w:tabs>
        <w:bidi w:val="0"/>
        <w:ind w:firstLine="567"/>
        <w:jc w:val="both"/>
      </w:pPr>
      <w:r w:rsidRPr="00CB53D1">
        <w:rPr>
          <w:rtl w:val="0"/>
          <w:lang w:val="en"/>
        </w:rPr>
        <w:t>Preliminarily approve and submit for approval the Company's annual General Shareholders Meeting the Company's annual accounting (financial) statements for 2021 in accordance with Annex No. 1 to this Desicion.</w:t>
      </w:r>
    </w:p>
    <w:p w:rsidR="007406DC" w:rsidRPr="007406DC" w:rsidP="00A42141">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FB6756">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FB6756" w:rsidP="007406DC">
            <w:pPr>
              <w:tabs>
                <w:tab w:val="left" w:pos="1134"/>
              </w:tabs>
              <w:jc w:val="both"/>
              <w:rPr>
                <w:highlight w:val="yellow"/>
              </w:rPr>
            </w:pPr>
          </w:p>
        </w:tc>
        <w:tc>
          <w:tcPr>
            <w:tcW w:w="169" w:type="pct"/>
          </w:tcPr>
          <w:p w:rsidR="007406DC" w:rsidRPr="00FB6756" w:rsidP="007406DC">
            <w:pPr>
              <w:tabs>
                <w:tab w:val="left" w:pos="1134"/>
              </w:tabs>
              <w:jc w:val="both"/>
              <w:rPr>
                <w:b/>
                <w:bCs/>
                <w:highlight w:val="yellow"/>
              </w:rPr>
            </w:pPr>
          </w:p>
        </w:tc>
        <w:tc>
          <w:tcPr>
            <w:tcW w:w="497" w:type="pct"/>
          </w:tcPr>
          <w:p w:rsidR="007406DC" w:rsidRPr="00FB6756" w:rsidP="007406DC">
            <w:pPr>
              <w:tabs>
                <w:tab w:val="left" w:pos="1134"/>
              </w:tabs>
              <w:jc w:val="both"/>
              <w:rPr>
                <w:b/>
                <w:bCs/>
                <w:highlight w:val="yellow"/>
              </w:rPr>
            </w:pP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FB6756" w:rsidRPr="003A5C7C" w:rsidP="00FB6756">
      <w:pPr>
        <w:widowControl w:val="0"/>
        <w:tabs>
          <w:tab w:val="left" w:pos="0"/>
        </w:tabs>
        <w:bidi w:val="0"/>
        <w:jc w:val="both"/>
        <w:rPr>
          <w:rFonts w:eastAsia="Calibri"/>
          <w:b/>
          <w:bCs/>
        </w:rPr>
      </w:pPr>
      <w:r w:rsidRPr="00544D1A">
        <w:rPr>
          <w:b/>
          <w:caps/>
          <w:rtl w:val="0"/>
          <w:lang w:val="en"/>
        </w:rPr>
        <w:t xml:space="preserve">Item No. 2: </w:t>
      </w:r>
      <w:r w:rsidRPr="00544D1A">
        <w:rPr>
          <w:rFonts w:eastAsia="Calibri"/>
          <w:b/>
          <w:rtl w:val="0"/>
          <w:lang w:val="en"/>
        </w:rPr>
        <w:t>On recommendations for the Company's profit (losses) distribution based on 2021 results.</w:t>
      </w:r>
    </w:p>
    <w:p w:rsidR="00FB6756" w:rsidP="00FB6756">
      <w:pPr>
        <w:widowControl w:val="0"/>
        <w:tabs>
          <w:tab w:val="left" w:pos="709"/>
          <w:tab w:val="left" w:pos="851"/>
          <w:tab w:val="left" w:pos="993"/>
          <w:tab w:val="left" w:pos="1134"/>
        </w:tabs>
        <w:bidi w:val="0"/>
        <w:jc w:val="both"/>
        <w:rPr>
          <w:b/>
        </w:rPr>
      </w:pPr>
      <w:r w:rsidRPr="00BE449A">
        <w:rPr>
          <w:b/>
          <w:rtl w:val="0"/>
          <w:lang w:val="en"/>
        </w:rPr>
        <w:t>DECISION:</w:t>
      </w:r>
    </w:p>
    <w:p w:rsidR="00FB6756" w:rsidRPr="00CB53D1" w:rsidP="00FB6756">
      <w:pPr>
        <w:bidi w:val="0"/>
        <w:ind w:firstLine="567"/>
        <w:jc w:val="both"/>
        <w:rPr>
          <w:bCs/>
        </w:rPr>
      </w:pPr>
      <w:r w:rsidRPr="00CB53D1">
        <w:rPr>
          <w:bCs/>
          <w:rtl w:val="0"/>
          <w:lang w:val="en"/>
        </w:rPr>
        <w:t>Recommend to the Annual General Meeting of Shareholders of the Company to approve the following distribution of profit (loss) of the Company for the reporting year 2021: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8"/>
        <w:gridCol w:w="1730"/>
      </w:tblGrid>
      <w:tr w:rsidTr="00FF184A">
        <w:tblPrEx>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768" w:type="dxa"/>
          </w:tcPr>
          <w:p w:rsidR="00FB6756" w:rsidRPr="00CB53D1" w:rsidP="00FF184A">
            <w:pPr>
              <w:bidi w:val="0"/>
              <w:jc w:val="both"/>
              <w:rPr>
                <w:b/>
                <w:bCs/>
              </w:rPr>
            </w:pPr>
            <w:r w:rsidRPr="00CB53D1">
              <w:rPr>
                <w:b/>
                <w:bCs/>
                <w:rtl w:val="0"/>
                <w:lang w:val="en"/>
              </w:rPr>
              <w:t>Name</w:t>
            </w:r>
          </w:p>
        </w:tc>
        <w:tc>
          <w:tcPr>
            <w:tcW w:w="1730" w:type="dxa"/>
          </w:tcPr>
          <w:p w:rsidR="00FB6756" w:rsidRPr="00CB53D1" w:rsidP="00FF184A">
            <w:pPr>
              <w:bidi w:val="0"/>
              <w:jc w:val="both"/>
              <w:rPr>
                <w:bCs/>
              </w:rPr>
            </w:pPr>
            <w:r w:rsidRPr="00CB53D1">
              <w:rPr>
                <w:bCs/>
                <w:rtl w:val="0"/>
                <w:lang w:val="en"/>
              </w:rPr>
              <w:t>(RUB, thousand)</w:t>
            </w:r>
          </w:p>
        </w:tc>
      </w:tr>
      <w:tr w:rsidTr="00FF184A">
        <w:tblPrEx>
          <w:tblW w:w="9498" w:type="dxa"/>
          <w:tblInd w:w="-5" w:type="dxa"/>
          <w:tblLayout w:type="fixed"/>
          <w:tblLook w:val="0000"/>
        </w:tblPrEx>
        <w:tc>
          <w:tcPr>
            <w:tcW w:w="7768" w:type="dxa"/>
          </w:tcPr>
          <w:p w:rsidR="00FB6756" w:rsidRPr="00CB53D1" w:rsidP="00FF184A">
            <w:pPr>
              <w:bidi w:val="0"/>
              <w:jc w:val="both"/>
              <w:rPr>
                <w:bCs/>
              </w:rPr>
            </w:pPr>
            <w:r w:rsidRPr="00CB53D1">
              <w:rPr>
                <w:bCs/>
                <w:rtl w:val="0"/>
                <w:lang w:val="en"/>
              </w:rPr>
              <w:t>Retained profit (uncovered loss) of the reporting period:</w:t>
            </w:r>
          </w:p>
        </w:tc>
        <w:tc>
          <w:tcPr>
            <w:tcW w:w="1730" w:type="dxa"/>
          </w:tcPr>
          <w:p w:rsidR="00FB6756" w:rsidRPr="00CB53D1" w:rsidP="00FF184A">
            <w:pPr>
              <w:bidi w:val="0"/>
              <w:jc w:val="both"/>
              <w:rPr>
                <w:bCs/>
              </w:rPr>
            </w:pPr>
            <w:r w:rsidRPr="00CB53D1">
              <w:rPr>
                <w:bCs/>
                <w:rtl w:val="0"/>
                <w:lang w:val="en"/>
              </w:rPr>
              <w:t>2 068 388</w:t>
            </w:r>
          </w:p>
        </w:tc>
      </w:tr>
      <w:tr w:rsidTr="00FF184A">
        <w:tblPrEx>
          <w:tblW w:w="9498" w:type="dxa"/>
          <w:tblInd w:w="-5" w:type="dxa"/>
          <w:tblLayout w:type="fixed"/>
          <w:tblLook w:val="0000"/>
        </w:tblPrEx>
        <w:tc>
          <w:tcPr>
            <w:tcW w:w="7768" w:type="dxa"/>
          </w:tcPr>
          <w:p w:rsidR="00FB6756" w:rsidRPr="00CB53D1" w:rsidP="00FF184A">
            <w:pPr>
              <w:bidi w:val="0"/>
              <w:jc w:val="both"/>
              <w:rPr>
                <w:bCs/>
              </w:rPr>
            </w:pPr>
            <w:r w:rsidRPr="00CB53D1">
              <w:rPr>
                <w:bCs/>
                <w:rtl w:val="0"/>
                <w:lang w:val="en"/>
              </w:rPr>
              <w:t>Allocate to: Reserve Fund</w:t>
            </w:r>
          </w:p>
        </w:tc>
        <w:tc>
          <w:tcPr>
            <w:tcW w:w="1730" w:type="dxa"/>
          </w:tcPr>
          <w:p w:rsidR="00FB6756" w:rsidRPr="00CB53D1" w:rsidP="00FF184A">
            <w:pPr>
              <w:bidi w:val="0"/>
              <w:jc w:val="both"/>
              <w:rPr>
                <w:bCs/>
              </w:rPr>
            </w:pPr>
            <w:r w:rsidRPr="00CB53D1">
              <w:rPr>
                <w:bCs/>
                <w:rtl w:val="0"/>
                <w:lang w:val="en"/>
              </w:rPr>
              <w:t>103,420</w:t>
            </w:r>
          </w:p>
        </w:tc>
      </w:tr>
      <w:tr w:rsidTr="00FF184A">
        <w:tblPrEx>
          <w:tblW w:w="9498" w:type="dxa"/>
          <w:tblInd w:w="-5" w:type="dxa"/>
          <w:tblLayout w:type="fixed"/>
          <w:tblLook w:val="0000"/>
        </w:tblPrEx>
        <w:tc>
          <w:tcPr>
            <w:tcW w:w="7768" w:type="dxa"/>
          </w:tcPr>
          <w:p w:rsidR="00FB6756" w:rsidRPr="00CB53D1" w:rsidP="00FF184A">
            <w:pPr>
              <w:bidi w:val="0"/>
              <w:jc w:val="both"/>
              <w:rPr>
                <w:bCs/>
              </w:rPr>
            </w:pPr>
            <w:r w:rsidRPr="00CB53D1">
              <w:rPr>
                <w:bCs/>
                <w:rtl w:val="0"/>
                <w:lang w:val="en"/>
              </w:rPr>
              <w:t xml:space="preserve">                                        Development profit</w:t>
            </w:r>
          </w:p>
        </w:tc>
        <w:tc>
          <w:tcPr>
            <w:tcW w:w="1730" w:type="dxa"/>
          </w:tcPr>
          <w:p w:rsidR="00FB6756" w:rsidRPr="00CB53D1" w:rsidP="00FF184A">
            <w:pPr>
              <w:bidi w:val="0"/>
              <w:jc w:val="both"/>
              <w:rPr>
                <w:bCs/>
              </w:rPr>
            </w:pPr>
            <w:r w:rsidRPr="00CB53D1">
              <w:rPr>
                <w:bCs/>
                <w:rtl w:val="0"/>
                <w:lang w:val="en"/>
              </w:rPr>
              <w:t>1 964 968</w:t>
            </w:r>
          </w:p>
        </w:tc>
      </w:tr>
      <w:tr w:rsidTr="00FF184A">
        <w:tblPrEx>
          <w:tblW w:w="9498" w:type="dxa"/>
          <w:tblInd w:w="-5" w:type="dxa"/>
          <w:tblLayout w:type="fixed"/>
          <w:tblLook w:val="0000"/>
        </w:tblPrEx>
        <w:tc>
          <w:tcPr>
            <w:tcW w:w="7768" w:type="dxa"/>
          </w:tcPr>
          <w:p w:rsidR="00FB6756" w:rsidRPr="00CB53D1" w:rsidP="00FF184A">
            <w:pPr>
              <w:bidi w:val="0"/>
              <w:jc w:val="both"/>
              <w:rPr>
                <w:bCs/>
              </w:rPr>
            </w:pPr>
            <w:r w:rsidRPr="00CB53D1">
              <w:rPr>
                <w:bCs/>
                <w:rtl w:val="0"/>
                <w:lang w:val="en"/>
              </w:rPr>
              <w:t xml:space="preserve">                                        Dividends</w:t>
            </w:r>
          </w:p>
        </w:tc>
        <w:tc>
          <w:tcPr>
            <w:tcW w:w="1730" w:type="dxa"/>
          </w:tcPr>
          <w:p w:rsidR="00FB6756" w:rsidRPr="00CB53D1" w:rsidP="00FF184A">
            <w:pPr>
              <w:bidi w:val="0"/>
              <w:jc w:val="both"/>
              <w:rPr>
                <w:bCs/>
              </w:rPr>
            </w:pPr>
            <w:r w:rsidRPr="00CB53D1">
              <w:rPr>
                <w:bCs/>
                <w:rtl w:val="0"/>
                <w:lang w:val="en"/>
              </w:rPr>
              <w:t>0</w:t>
            </w:r>
          </w:p>
        </w:tc>
      </w:tr>
      <w:tr w:rsidTr="00FF184A">
        <w:tblPrEx>
          <w:tblW w:w="9498" w:type="dxa"/>
          <w:tblInd w:w="-5" w:type="dxa"/>
          <w:tblLayout w:type="fixed"/>
          <w:tblLook w:val="0000"/>
        </w:tblPrEx>
        <w:tc>
          <w:tcPr>
            <w:tcW w:w="7768" w:type="dxa"/>
          </w:tcPr>
          <w:p w:rsidR="00FB6756" w:rsidRPr="00CB53D1" w:rsidP="00FF184A">
            <w:pPr>
              <w:bidi w:val="0"/>
              <w:jc w:val="both"/>
              <w:rPr>
                <w:bCs/>
              </w:rPr>
            </w:pPr>
            <w:r w:rsidRPr="00CB53D1">
              <w:rPr>
                <w:bCs/>
                <w:rtl w:val="0"/>
                <w:lang w:val="en"/>
              </w:rPr>
              <w:t xml:space="preserve">                                        Repayment of losses from previous years</w:t>
            </w:r>
          </w:p>
        </w:tc>
        <w:tc>
          <w:tcPr>
            <w:tcW w:w="1730" w:type="dxa"/>
          </w:tcPr>
          <w:p w:rsidR="00FB6756" w:rsidRPr="00CB53D1" w:rsidP="00FF184A">
            <w:pPr>
              <w:bidi w:val="0"/>
              <w:jc w:val="both"/>
              <w:rPr>
                <w:bCs/>
              </w:rPr>
            </w:pPr>
            <w:r w:rsidRPr="00CB53D1">
              <w:rPr>
                <w:bCs/>
                <w:rtl w:val="0"/>
                <w:lang w:val="en"/>
              </w:rPr>
              <w:t>0</w:t>
            </w:r>
          </w:p>
        </w:tc>
      </w:tr>
    </w:tbl>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3F282F">
            <w:pPr>
              <w:pStyle w:val="BodyText"/>
              <w:widowControl w:val="0"/>
              <w:bidi w:val="0"/>
              <w:ind w:right="-208"/>
              <w:jc w:val="both"/>
              <w:rPr>
                <w:b/>
                <w:bCs/>
                <w:sz w:val="24"/>
                <w:szCs w:val="24"/>
              </w:rPr>
            </w:pPr>
            <w:r w:rsidRPr="0016141B">
              <w:rPr>
                <w:b/>
                <w:bCs/>
                <w:sz w:val="24"/>
                <w:szCs w:val="24"/>
                <w:rtl w:val="0"/>
                <w:lang w:val="en"/>
              </w:rPr>
              <w:t>"ABSTAINED"</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FB675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FB6756" w:rsidP="00F22D34">
            <w:pPr>
              <w:tabs>
                <w:tab w:val="left" w:pos="1134"/>
              </w:tabs>
              <w:jc w:val="both"/>
              <w:rPr>
                <w:highlight w:val="yellow"/>
              </w:rPr>
            </w:pPr>
          </w:p>
        </w:tc>
        <w:tc>
          <w:tcPr>
            <w:tcW w:w="150" w:type="pct"/>
          </w:tcPr>
          <w:p w:rsidR="00F22D34" w:rsidRPr="00FB6756" w:rsidP="00F22D34">
            <w:pPr>
              <w:tabs>
                <w:tab w:val="left" w:pos="1134"/>
              </w:tabs>
              <w:jc w:val="both"/>
              <w:rPr>
                <w:b/>
                <w:bCs/>
                <w:highlight w:val="yellow"/>
              </w:rPr>
            </w:pPr>
          </w:p>
        </w:tc>
        <w:tc>
          <w:tcPr>
            <w:tcW w:w="1273" w:type="pct"/>
          </w:tcPr>
          <w:p w:rsidR="00F22D34" w:rsidRPr="00FB6756" w:rsidP="00F22D34">
            <w:pPr>
              <w:tabs>
                <w:tab w:val="left" w:pos="1134"/>
              </w:tabs>
              <w:jc w:val="both"/>
              <w:rPr>
                <w:b/>
                <w:bCs/>
                <w:highlight w:val="yellow"/>
              </w:rPr>
            </w:pP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FB6756" w:rsidRPr="000A6238" w:rsidP="00FB6756">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No.3: </w:t>
      </w:r>
      <w:r w:rsidRPr="00544D1A">
        <w:rPr>
          <w:rFonts w:eastAsia="Calibri"/>
          <w:b/>
          <w:rtl w:val="0"/>
          <w:lang w:val="en"/>
        </w:rPr>
        <w:t>On recommendations on the amount of dividends on the Company's shares for 2021, the procedure for their payment and on proposals to the Annual General Meeting of Shareholders to determine the date on which persons entitled to receive dividends are determined.</w:t>
      </w:r>
    </w:p>
    <w:p w:rsidR="00FB6756" w:rsidP="00FB6756">
      <w:pPr>
        <w:widowControl w:val="0"/>
        <w:tabs>
          <w:tab w:val="left" w:pos="709"/>
          <w:tab w:val="left" w:pos="851"/>
          <w:tab w:val="left" w:pos="993"/>
          <w:tab w:val="left" w:pos="1134"/>
        </w:tabs>
        <w:bidi w:val="0"/>
        <w:jc w:val="both"/>
        <w:rPr>
          <w:b/>
        </w:rPr>
      </w:pPr>
      <w:r w:rsidRPr="00BE449A">
        <w:rPr>
          <w:b/>
          <w:rtl w:val="0"/>
          <w:lang w:val="en"/>
        </w:rPr>
        <w:t>DECISION:</w:t>
      </w:r>
    </w:p>
    <w:p w:rsidR="00FB6756" w:rsidRPr="00CB53D1" w:rsidP="00FB6756">
      <w:pPr>
        <w:tabs>
          <w:tab w:val="left" w:pos="1134"/>
        </w:tabs>
        <w:bidi w:val="0"/>
        <w:ind w:firstLine="567"/>
        <w:jc w:val="both"/>
        <w:rPr>
          <w:bCs/>
        </w:rPr>
      </w:pPr>
      <w:r w:rsidRPr="00CB53D1">
        <w:rPr>
          <w:bCs/>
          <w:rtl w:val="0"/>
          <w:lang w:val="en"/>
        </w:rPr>
        <w:t>Recommend to the Annual General Meeting of Shareholders to take the following decision: "Not to pay dividends on the Company's ordinary shares based on the results of 2021."</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3F282F">
            <w:pPr>
              <w:pStyle w:val="BodyText"/>
              <w:widowControl w:val="0"/>
              <w:bidi w:val="0"/>
              <w:ind w:right="-208"/>
              <w:jc w:val="both"/>
              <w:rPr>
                <w:b/>
                <w:bCs/>
                <w:sz w:val="24"/>
                <w:szCs w:val="24"/>
              </w:rPr>
            </w:pPr>
            <w:r w:rsidRPr="0016141B">
              <w:rPr>
                <w:b/>
                <w:bCs/>
                <w:sz w:val="24"/>
                <w:szCs w:val="24"/>
                <w:rtl w:val="0"/>
                <w:lang w:val="en"/>
              </w:rPr>
              <w:t>"ABSTAINED"</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FB675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FB6756" w:rsidP="00F22D34">
            <w:pPr>
              <w:tabs>
                <w:tab w:val="left" w:pos="1134"/>
              </w:tabs>
              <w:jc w:val="both"/>
              <w:rPr>
                <w:highlight w:val="yellow"/>
              </w:rPr>
            </w:pPr>
          </w:p>
        </w:tc>
        <w:tc>
          <w:tcPr>
            <w:tcW w:w="150" w:type="pct"/>
          </w:tcPr>
          <w:p w:rsidR="00F22D34" w:rsidRPr="00FB6756" w:rsidP="00F22D34">
            <w:pPr>
              <w:tabs>
                <w:tab w:val="left" w:pos="1134"/>
              </w:tabs>
              <w:jc w:val="both"/>
              <w:rPr>
                <w:b/>
                <w:bCs/>
                <w:highlight w:val="yellow"/>
              </w:rPr>
            </w:pPr>
          </w:p>
        </w:tc>
        <w:tc>
          <w:tcPr>
            <w:tcW w:w="1273" w:type="pct"/>
          </w:tcPr>
          <w:p w:rsidR="00F22D34" w:rsidRPr="00FB6756" w:rsidP="00F22D34">
            <w:pPr>
              <w:tabs>
                <w:tab w:val="left" w:pos="1134"/>
              </w:tabs>
              <w:jc w:val="both"/>
              <w:rPr>
                <w:b/>
                <w:bCs/>
                <w:highlight w:val="yellow"/>
              </w:rPr>
            </w:pPr>
          </w:p>
        </w:tc>
      </w:tr>
      <w:tr w:rsidTr="00C73631">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FB6756" w:rsidP="004D6DE0">
      <w:pPr>
        <w:widowControl w:val="0"/>
        <w:tabs>
          <w:tab w:val="left" w:pos="709"/>
          <w:tab w:val="left" w:pos="851"/>
          <w:tab w:val="left" w:pos="993"/>
          <w:tab w:val="left" w:pos="1134"/>
        </w:tabs>
        <w:jc w:val="both"/>
        <w:rPr>
          <w:b/>
          <w:caps/>
        </w:rPr>
      </w:pPr>
    </w:p>
    <w:p w:rsidR="00FB6756" w:rsidP="00FB6756">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4: </w:t>
      </w:r>
      <w:r w:rsidRPr="00544D1A">
        <w:rPr>
          <w:rFonts w:eastAsia="Calibri"/>
          <w:b/>
          <w:rtl w:val="0"/>
          <w:lang w:val="en"/>
        </w:rPr>
        <w:t>On proposals to the Annual General Meeting of the Company's Shareholders on the issue “On approval of the Regulations on the Audit Commission of the Company in a new edition.</w:t>
      </w:r>
    </w:p>
    <w:p w:rsidR="00FB6756" w:rsidP="00FB6756">
      <w:pPr>
        <w:widowControl w:val="0"/>
        <w:tabs>
          <w:tab w:val="left" w:pos="709"/>
          <w:tab w:val="left" w:pos="851"/>
          <w:tab w:val="left" w:pos="993"/>
          <w:tab w:val="left" w:pos="1134"/>
        </w:tabs>
        <w:bidi w:val="0"/>
        <w:jc w:val="both"/>
        <w:rPr>
          <w:b/>
        </w:rPr>
      </w:pPr>
      <w:r w:rsidRPr="00BE449A">
        <w:rPr>
          <w:b/>
          <w:rtl w:val="0"/>
          <w:lang w:val="en"/>
        </w:rPr>
        <w:t>DECISION:</w:t>
      </w:r>
    </w:p>
    <w:p w:rsidR="00FB6756" w:rsidRPr="00CF6F46" w:rsidP="00FB6756">
      <w:pPr>
        <w:tabs>
          <w:tab w:val="left" w:pos="1134"/>
        </w:tabs>
        <w:bidi w:val="0"/>
        <w:ind w:firstLine="567"/>
        <w:jc w:val="both"/>
        <w:rPr>
          <w:bCs/>
        </w:rPr>
      </w:pPr>
      <w:r w:rsidRPr="009E649B">
        <w:rPr>
          <w:bCs/>
          <w:rtl w:val="0"/>
          <w:lang w:val="en"/>
        </w:rPr>
        <w:t>Propose to the annual General Meeting of Shareholders of the Company to approve the Regulations on the Audit Commission of Rosseti South PJSC in a new edition according to Annex No. 2 to this Desicion of the Company's Board of Directors.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EE665D">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7406DC" w:rsidP="00F22D34">
            <w:pPr>
              <w:tabs>
                <w:tab w:val="left" w:pos="1134"/>
              </w:tabs>
              <w:jc w:val="both"/>
            </w:pPr>
          </w:p>
        </w:tc>
        <w:tc>
          <w:tcPr>
            <w:tcW w:w="150" w:type="pct"/>
          </w:tcPr>
          <w:p w:rsidR="00F22D34" w:rsidRPr="007406DC" w:rsidP="00F22D34">
            <w:pPr>
              <w:tabs>
                <w:tab w:val="left" w:pos="1134"/>
              </w:tabs>
              <w:jc w:val="both"/>
              <w:rPr>
                <w:b/>
                <w:bCs/>
              </w:rPr>
            </w:pPr>
          </w:p>
        </w:tc>
        <w:tc>
          <w:tcPr>
            <w:tcW w:w="1273" w:type="pct"/>
          </w:tcPr>
          <w:p w:rsidR="00F22D34" w:rsidRPr="007406DC" w:rsidP="00F22D34">
            <w:pPr>
              <w:tabs>
                <w:tab w:val="left" w:pos="1134"/>
              </w:tabs>
              <w:jc w:val="both"/>
              <w:rPr>
                <w:b/>
                <w:bCs/>
              </w:rPr>
            </w:pPr>
          </w:p>
        </w:tc>
      </w:tr>
      <w:tr w:rsidTr="00646765">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FB6756" w:rsidP="00D00A8C">
      <w:pPr>
        <w:widowControl w:val="0"/>
        <w:tabs>
          <w:tab w:val="left" w:pos="709"/>
          <w:tab w:val="left" w:pos="851"/>
          <w:tab w:val="left" w:pos="993"/>
          <w:tab w:val="left" w:pos="1134"/>
        </w:tabs>
        <w:jc w:val="both"/>
        <w:rPr>
          <w:b/>
          <w:caps/>
        </w:rPr>
      </w:pPr>
    </w:p>
    <w:p w:rsidR="00FB6756" w:rsidP="00D00A8C">
      <w:pPr>
        <w:widowControl w:val="0"/>
        <w:tabs>
          <w:tab w:val="left" w:pos="709"/>
          <w:tab w:val="left" w:pos="851"/>
          <w:tab w:val="left" w:pos="993"/>
          <w:tab w:val="left" w:pos="1134"/>
        </w:tabs>
        <w:jc w:val="both"/>
        <w:rPr>
          <w:b/>
          <w:caps/>
        </w:rPr>
      </w:pPr>
    </w:p>
    <w:p w:rsidR="00FB6756" w:rsidRPr="005F0F0B" w:rsidP="00FB6756">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No.5: </w:t>
      </w:r>
      <w:r w:rsidRPr="00544D1A">
        <w:rPr>
          <w:rFonts w:eastAsia="Calibri"/>
          <w:b/>
          <w:rtl w:val="0"/>
          <w:lang w:val="en"/>
        </w:rPr>
        <w:t>On proposals to the annual General Meeting of Shareholders of the Company on the candidature of the Company's auditor.</w:t>
      </w:r>
    </w:p>
    <w:p w:rsidR="00FB6756" w:rsidP="00FB6756">
      <w:pPr>
        <w:widowControl w:val="0"/>
        <w:tabs>
          <w:tab w:val="left" w:pos="709"/>
          <w:tab w:val="left" w:pos="851"/>
          <w:tab w:val="left" w:pos="993"/>
          <w:tab w:val="left" w:pos="1134"/>
        </w:tabs>
        <w:bidi w:val="0"/>
        <w:jc w:val="both"/>
        <w:rPr>
          <w:b/>
        </w:rPr>
      </w:pPr>
      <w:r w:rsidRPr="00BE449A">
        <w:rPr>
          <w:b/>
          <w:rtl w:val="0"/>
          <w:lang w:val="en"/>
        </w:rPr>
        <w:t>DECISION:</w:t>
      </w:r>
    </w:p>
    <w:p w:rsidR="00FB6756" w:rsidRPr="00351AA5" w:rsidP="00FB6756">
      <w:pPr>
        <w:widowControl w:val="0"/>
        <w:tabs>
          <w:tab w:val="left" w:pos="1134"/>
        </w:tabs>
        <w:bidi w:val="0"/>
        <w:ind w:firstLine="567"/>
        <w:jc w:val="both"/>
      </w:pPr>
      <w:r w:rsidRPr="00F74EA7">
        <w:rPr>
          <w:bCs/>
          <w:rtl w:val="0"/>
          <w:lang w:val="en"/>
        </w:rPr>
        <w:t>Propose to the annual General Meeting of Shareholders of Rosseti South PJSC to approve the association of auditors (collective participant) as part of CATR - Auditing Services LLC (leader of the collective participant) (TIN 7709383532) (former name - Ernst &amp; Young LLC) and Auditing Company DELOVOY PROFILE  JSC (TIN 7735073914) (member of the collective participant) as the auditor of Rosseti South PJSC.</w:t>
      </w:r>
    </w:p>
    <w:p w:rsidR="001E114B" w:rsidRPr="0016141B" w:rsidP="001E114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D.V. Krainsky</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M.V. Korotkova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1E114B" w:rsidRPr="0016141B" w:rsidP="002C04DD">
            <w:pPr>
              <w:pStyle w:val="BodyText"/>
              <w:widowControl w:val="0"/>
              <w:bidi w:val="0"/>
              <w:ind w:right="-90"/>
              <w:jc w:val="both"/>
              <w:rPr>
                <w:sz w:val="24"/>
                <w:szCs w:val="24"/>
              </w:rPr>
            </w:pPr>
            <w:r w:rsidRPr="0016141B">
              <w:rPr>
                <w:sz w:val="24"/>
                <w:szCs w:val="24"/>
                <w:rtl w:val="0"/>
                <w:lang w:val="en"/>
              </w:rPr>
              <w:t>I. D. Alyushenko</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P.V. Grebtsov</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2C04DD">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16141B" w:rsidP="002C04DD">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shd w:val="clear" w:color="auto" w:fill="auto"/>
          </w:tcPr>
          <w:p w:rsidR="001E114B" w:rsidRPr="0016141B" w:rsidP="002C04DD">
            <w:pPr>
              <w:pStyle w:val="BodyText"/>
              <w:widowControl w:val="0"/>
              <w:bidi w:val="0"/>
              <w:ind w:right="-90"/>
              <w:jc w:val="both"/>
              <w:rPr>
                <w:sz w:val="24"/>
                <w:szCs w:val="24"/>
              </w:rPr>
            </w:pPr>
            <w:r w:rsidRPr="0016141B">
              <w:rPr>
                <w:sz w:val="24"/>
                <w:szCs w:val="24"/>
                <w:rtl w:val="0"/>
                <w:lang w:val="en"/>
              </w:rPr>
              <w:t>V.Yu. Zarkhin</w:t>
            </w:r>
          </w:p>
        </w:tc>
        <w:tc>
          <w:tcPr>
            <w:tcW w:w="196"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01" w:type="pct"/>
          </w:tcPr>
          <w:p w:rsidR="001E114B" w:rsidRPr="0016141B" w:rsidP="00FB675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E114B" w:rsidRPr="00300AD1" w:rsidP="002C04DD">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1E114B" w:rsidRPr="0016141B" w:rsidP="002C04DD">
            <w:pPr>
              <w:pStyle w:val="BodyText"/>
              <w:widowControl w:val="0"/>
              <w:bidi w:val="0"/>
              <w:jc w:val="both"/>
              <w:rPr>
                <w:b/>
                <w:bCs/>
                <w:sz w:val="24"/>
                <w:szCs w:val="24"/>
              </w:rPr>
            </w:pPr>
            <w:r w:rsidRPr="0016141B">
              <w:rPr>
                <w:b/>
                <w:bCs/>
                <w:sz w:val="24"/>
                <w:szCs w:val="24"/>
                <w:rtl w:val="0"/>
                <w:lang w:val="en"/>
              </w:rPr>
              <w:t>-</w:t>
            </w:r>
          </w:p>
        </w:tc>
        <w:tc>
          <w:tcPr>
            <w:tcW w:w="1273" w:type="pct"/>
          </w:tcPr>
          <w:p w:rsidR="001E114B" w:rsidRPr="0016141B" w:rsidP="002C04DD">
            <w:pPr>
              <w:pStyle w:val="BodyText"/>
              <w:widowControl w:val="0"/>
              <w:bidi w:val="0"/>
              <w:ind w:right="-208"/>
              <w:jc w:val="both"/>
              <w:rPr>
                <w:b/>
                <w:bCs/>
                <w:sz w:val="24"/>
                <w:szCs w:val="24"/>
              </w:rPr>
            </w:pPr>
            <w:r w:rsidRPr="0016141B">
              <w:rPr>
                <w:b/>
                <w:bCs/>
                <w:sz w:val="24"/>
                <w:szCs w:val="24"/>
                <w:rtl w:val="0"/>
                <w:lang w:val="en"/>
              </w:rPr>
              <w:t>"FOR"</w:t>
            </w: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A.I. Kazakov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FB6756" w:rsidP="00F22D34">
            <w:pPr>
              <w:tabs>
                <w:tab w:val="left" w:pos="1134"/>
              </w:tabs>
              <w:jc w:val="both"/>
              <w:rPr>
                <w:highlight w:val="yellow"/>
              </w:rPr>
            </w:pPr>
          </w:p>
        </w:tc>
        <w:tc>
          <w:tcPr>
            <w:tcW w:w="150" w:type="pct"/>
          </w:tcPr>
          <w:p w:rsidR="00F22D34" w:rsidRPr="00FB6756" w:rsidP="00F22D34">
            <w:pPr>
              <w:tabs>
                <w:tab w:val="left" w:pos="1134"/>
              </w:tabs>
              <w:jc w:val="both"/>
              <w:rPr>
                <w:b/>
                <w:bCs/>
                <w:highlight w:val="yellow"/>
              </w:rPr>
            </w:pPr>
          </w:p>
        </w:tc>
        <w:tc>
          <w:tcPr>
            <w:tcW w:w="1273" w:type="pct"/>
          </w:tcPr>
          <w:p w:rsidR="00F22D34" w:rsidRPr="00FB6756" w:rsidP="00F22D34">
            <w:pPr>
              <w:tabs>
                <w:tab w:val="left" w:pos="1134"/>
              </w:tabs>
              <w:jc w:val="both"/>
              <w:rPr>
                <w:b/>
                <w:bCs/>
                <w:highlight w:val="yellow"/>
              </w:rPr>
            </w:pPr>
          </w:p>
        </w:tc>
      </w:tr>
      <w:tr w:rsidTr="002C04DD">
        <w:tblPrEx>
          <w:tblW w:w="5133" w:type="pct"/>
          <w:tblInd w:w="-142" w:type="dxa"/>
          <w:tblLayout w:type="fixed"/>
          <w:tblLook w:val="0000"/>
        </w:tblPrEx>
        <w:tc>
          <w:tcPr>
            <w:tcW w:w="1134" w:type="pct"/>
          </w:tcPr>
          <w:p w:rsidR="00F22D34" w:rsidRPr="0016141B" w:rsidP="00F22D34">
            <w:pPr>
              <w:pStyle w:val="BodyText"/>
              <w:widowControl w:val="0"/>
              <w:bidi w:val="0"/>
              <w:ind w:right="-90"/>
              <w:jc w:val="both"/>
              <w:rPr>
                <w:sz w:val="24"/>
                <w:szCs w:val="24"/>
              </w:rPr>
            </w:pPr>
            <w:r w:rsidRPr="0016141B">
              <w:rPr>
                <w:sz w:val="24"/>
                <w:szCs w:val="24"/>
                <w:rtl w:val="0"/>
                <w:lang w:val="en"/>
              </w:rPr>
              <w:t>O.Yu. Klinkov</w:t>
            </w:r>
          </w:p>
        </w:tc>
        <w:tc>
          <w:tcPr>
            <w:tcW w:w="196" w:type="pct"/>
          </w:tcPr>
          <w:p w:rsidR="00F22D34" w:rsidRPr="0016141B" w:rsidP="00F22D34">
            <w:pPr>
              <w:pStyle w:val="BodyText"/>
              <w:widowControl w:val="0"/>
              <w:bidi w:val="0"/>
              <w:jc w:val="both"/>
              <w:rPr>
                <w:b/>
                <w:bCs/>
                <w:sz w:val="24"/>
                <w:szCs w:val="24"/>
              </w:rPr>
            </w:pPr>
            <w:r w:rsidRPr="0016141B">
              <w:rPr>
                <w:b/>
                <w:bCs/>
                <w:sz w:val="24"/>
                <w:szCs w:val="24"/>
                <w:rtl w:val="0"/>
                <w:lang w:val="en"/>
              </w:rPr>
              <w:t>-</w:t>
            </w:r>
          </w:p>
        </w:tc>
        <w:tc>
          <w:tcPr>
            <w:tcW w:w="1201" w:type="pct"/>
          </w:tcPr>
          <w:p w:rsidR="00F22D34" w:rsidRPr="0016141B" w:rsidP="00F22D34">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22D34" w:rsidRPr="0016141B" w:rsidP="00F22D34">
            <w:pPr>
              <w:pStyle w:val="BodyText"/>
              <w:widowControl w:val="0"/>
              <w:ind w:right="-90"/>
              <w:jc w:val="both"/>
              <w:rPr>
                <w:sz w:val="24"/>
                <w:szCs w:val="24"/>
              </w:rPr>
            </w:pPr>
          </w:p>
        </w:tc>
        <w:tc>
          <w:tcPr>
            <w:tcW w:w="150" w:type="pct"/>
          </w:tcPr>
          <w:p w:rsidR="00F22D34" w:rsidRPr="0016141B" w:rsidP="00F22D34">
            <w:pPr>
              <w:pStyle w:val="BodyText"/>
              <w:widowControl w:val="0"/>
              <w:jc w:val="both"/>
              <w:rPr>
                <w:b/>
                <w:bCs/>
                <w:sz w:val="24"/>
                <w:szCs w:val="24"/>
              </w:rPr>
            </w:pPr>
          </w:p>
        </w:tc>
        <w:tc>
          <w:tcPr>
            <w:tcW w:w="1273" w:type="pct"/>
          </w:tcPr>
          <w:p w:rsidR="00F22D34" w:rsidRPr="0016141B" w:rsidP="00F22D34">
            <w:pPr>
              <w:pStyle w:val="BodyText"/>
              <w:widowControl w:val="0"/>
              <w:ind w:right="-208"/>
              <w:jc w:val="both"/>
              <w:rPr>
                <w:b/>
                <w:bCs/>
                <w:sz w:val="24"/>
                <w:szCs w:val="24"/>
              </w:rPr>
            </w:pPr>
          </w:p>
        </w:tc>
      </w:tr>
    </w:tbl>
    <w:p w:rsidR="001E114B" w:rsidP="001E114B">
      <w:pPr>
        <w:tabs>
          <w:tab w:val="left" w:pos="540"/>
          <w:tab w:val="left" w:pos="1134"/>
        </w:tabs>
        <w:bidi w:val="0"/>
        <w:jc w:val="both"/>
        <w:rPr>
          <w:b/>
        </w:rPr>
      </w:pPr>
      <w:r w:rsidRPr="00B36DD3">
        <w:rPr>
          <w:b/>
          <w:rtl w:val="0"/>
          <w:lang w:val="en"/>
        </w:rPr>
        <w:t>The resolution was adopted.</w:t>
      </w:r>
    </w:p>
    <w:p w:rsidR="001E114B" w:rsidP="001E114B">
      <w:pPr>
        <w:widowControl w:val="0"/>
        <w:suppressAutoHyphens/>
        <w:rPr>
          <w:b/>
          <w:highlight w:val="yellow"/>
        </w:rPr>
      </w:pPr>
    </w:p>
    <w:p w:rsidR="001E114B" w:rsidP="001E114B">
      <w:pPr>
        <w:widowControl w:val="0"/>
        <w:suppressAutoHyphens/>
        <w:rPr>
          <w:b/>
          <w:highlight w:val="yellow"/>
        </w:rPr>
      </w:pPr>
    </w:p>
    <w:p w:rsidR="00FB6756" w:rsidRPr="005F0F0B" w:rsidP="00FB6756">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6: </w:t>
      </w:r>
      <w:r w:rsidRPr="00544D1A">
        <w:rPr>
          <w:rFonts w:eastAsia="Calibri"/>
          <w:b/>
          <w:rtl w:val="0"/>
          <w:lang w:val="en"/>
        </w:rPr>
        <w:t>On approval of the form and text of voting ballots at the Annual General Meeting of Shareholders, as well as the wording of resolutions on agenda items of the Annual General Meeting of Shareholders, which shall be sent in electronic form (in the form of electronic documents) to nominee shareholders registered in the register of shareholders of the Company.</w:t>
      </w:r>
    </w:p>
    <w:p w:rsidR="00FB6756" w:rsidP="00FB6756">
      <w:pPr>
        <w:widowControl w:val="0"/>
        <w:tabs>
          <w:tab w:val="left" w:pos="709"/>
          <w:tab w:val="left" w:pos="851"/>
          <w:tab w:val="left" w:pos="993"/>
          <w:tab w:val="left" w:pos="1134"/>
        </w:tabs>
        <w:bidi w:val="0"/>
        <w:jc w:val="both"/>
        <w:rPr>
          <w:b/>
        </w:rPr>
      </w:pPr>
      <w:r w:rsidRPr="00BE449A">
        <w:rPr>
          <w:b/>
          <w:rtl w:val="0"/>
          <w:lang w:val="en"/>
        </w:rPr>
        <w:t>DECISION:</w:t>
      </w:r>
    </w:p>
    <w:p w:rsidR="00FB6756" w:rsidRPr="00415D5B" w:rsidP="00FB6756">
      <w:pPr>
        <w:tabs>
          <w:tab w:val="left" w:pos="1134"/>
        </w:tabs>
        <w:bidi w:val="0"/>
        <w:ind w:firstLine="567"/>
        <w:jc w:val="both"/>
        <w:rPr>
          <w:bCs/>
        </w:rPr>
      </w:pPr>
      <w:r w:rsidRPr="00415D5B">
        <w:rPr>
          <w:bCs/>
          <w:rtl w:val="0"/>
          <w:lang w:val="en"/>
        </w:rPr>
        <w:t>1. Approve the form and text of ballot papers to be voted on at the Annual General Meeting of Shareholders of the Company in accordance with Annexes No. 3-5 hereto.</w:t>
      </w:r>
    </w:p>
    <w:p w:rsidR="00FB6756" w:rsidP="00FB6756">
      <w:pPr>
        <w:tabs>
          <w:tab w:val="left" w:pos="1134"/>
        </w:tabs>
        <w:bidi w:val="0"/>
        <w:ind w:firstLine="567"/>
        <w:jc w:val="both"/>
        <w:rPr>
          <w:bCs/>
        </w:rPr>
      </w:pPr>
      <w:r w:rsidRPr="00415D5B">
        <w:rPr>
          <w:bCs/>
          <w:rtl w:val="0"/>
          <w:lang w:val="en"/>
        </w:rPr>
        <w:t>2. Send in electronic form (in the form of electronic documents) to nominee shareholders registered in the register of shareholders, use the wording of resolutions specified in the voting bulletins.</w:t>
      </w:r>
    </w:p>
    <w:p w:rsidR="00FB6756" w:rsidRPr="0016141B" w:rsidP="00FB6756">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D.V. Krainsky</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bidi w:val="0"/>
              <w:ind w:right="-90"/>
              <w:jc w:val="both"/>
              <w:rPr>
                <w:sz w:val="24"/>
                <w:szCs w:val="24"/>
              </w:rPr>
            </w:pPr>
            <w:r w:rsidRPr="0016141B">
              <w:rPr>
                <w:sz w:val="24"/>
                <w:szCs w:val="24"/>
                <w:rtl w:val="0"/>
                <w:lang w:val="en"/>
              </w:rPr>
              <w:t>M.V. Korotkova</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shd w:val="clear" w:color="auto" w:fill="auto"/>
          </w:tcPr>
          <w:p w:rsidR="00FB6756" w:rsidRPr="0016141B" w:rsidP="00FF184A">
            <w:pPr>
              <w:pStyle w:val="BodyText"/>
              <w:widowControl w:val="0"/>
              <w:bidi w:val="0"/>
              <w:ind w:right="-90"/>
              <w:jc w:val="both"/>
              <w:rPr>
                <w:sz w:val="24"/>
                <w:szCs w:val="24"/>
              </w:rPr>
            </w:pPr>
            <w:r w:rsidRPr="0016141B">
              <w:rPr>
                <w:sz w:val="24"/>
                <w:szCs w:val="24"/>
                <w:rtl w:val="0"/>
                <w:lang w:val="en"/>
              </w:rPr>
              <w:t>P.V. Grebtsov</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shd w:val="clear" w:color="auto" w:fill="auto"/>
          </w:tcPr>
          <w:p w:rsidR="00FB6756" w:rsidRPr="0016141B" w:rsidP="00FF184A">
            <w:pPr>
              <w:pStyle w:val="BodyText"/>
              <w:widowControl w:val="0"/>
              <w:bidi w:val="0"/>
              <w:ind w:right="-90"/>
              <w:jc w:val="both"/>
              <w:rPr>
                <w:sz w:val="24"/>
                <w:szCs w:val="24"/>
              </w:rPr>
            </w:pPr>
            <w:r w:rsidRPr="0016141B">
              <w:rPr>
                <w:sz w:val="24"/>
                <w:szCs w:val="24"/>
                <w:rtl w:val="0"/>
                <w:lang w:val="en"/>
              </w:rPr>
              <w:t>V.Yu. Zarkhin</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300AD1" w:rsidP="00FF184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A.I. Kazakov</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FB6756" w:rsidP="00FF184A">
            <w:pPr>
              <w:tabs>
                <w:tab w:val="left" w:pos="1134"/>
              </w:tabs>
              <w:jc w:val="both"/>
              <w:rPr>
                <w:highlight w:val="yellow"/>
              </w:rPr>
            </w:pPr>
          </w:p>
        </w:tc>
        <w:tc>
          <w:tcPr>
            <w:tcW w:w="150" w:type="pct"/>
          </w:tcPr>
          <w:p w:rsidR="00FB6756" w:rsidRPr="00FB6756" w:rsidP="00FF184A">
            <w:pPr>
              <w:tabs>
                <w:tab w:val="left" w:pos="1134"/>
              </w:tabs>
              <w:jc w:val="both"/>
              <w:rPr>
                <w:b/>
                <w:bCs/>
                <w:highlight w:val="yellow"/>
              </w:rPr>
            </w:pPr>
          </w:p>
        </w:tc>
        <w:tc>
          <w:tcPr>
            <w:tcW w:w="1273" w:type="pct"/>
          </w:tcPr>
          <w:p w:rsidR="00FB6756" w:rsidRPr="00FB6756" w:rsidP="00FF184A">
            <w:pPr>
              <w:tabs>
                <w:tab w:val="left" w:pos="1134"/>
              </w:tabs>
              <w:jc w:val="both"/>
              <w:rPr>
                <w:b/>
                <w:bCs/>
                <w:highlight w:val="yellow"/>
              </w:rPr>
            </w:pPr>
          </w:p>
        </w:tc>
      </w:tr>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O.Yu. Klinkov</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ind w:right="-90"/>
              <w:jc w:val="both"/>
              <w:rPr>
                <w:sz w:val="24"/>
                <w:szCs w:val="24"/>
              </w:rPr>
            </w:pPr>
          </w:p>
        </w:tc>
        <w:tc>
          <w:tcPr>
            <w:tcW w:w="150" w:type="pct"/>
          </w:tcPr>
          <w:p w:rsidR="00FB6756" w:rsidRPr="0016141B" w:rsidP="00FF184A">
            <w:pPr>
              <w:pStyle w:val="BodyText"/>
              <w:widowControl w:val="0"/>
              <w:jc w:val="both"/>
              <w:rPr>
                <w:b/>
                <w:bCs/>
                <w:sz w:val="24"/>
                <w:szCs w:val="24"/>
              </w:rPr>
            </w:pPr>
          </w:p>
        </w:tc>
        <w:tc>
          <w:tcPr>
            <w:tcW w:w="1273" w:type="pct"/>
          </w:tcPr>
          <w:p w:rsidR="00FB6756" w:rsidRPr="0016141B" w:rsidP="00FF184A">
            <w:pPr>
              <w:pStyle w:val="BodyText"/>
              <w:widowControl w:val="0"/>
              <w:ind w:right="-208"/>
              <w:jc w:val="both"/>
              <w:rPr>
                <w:b/>
                <w:bCs/>
                <w:sz w:val="24"/>
                <w:szCs w:val="24"/>
              </w:rPr>
            </w:pPr>
          </w:p>
        </w:tc>
      </w:tr>
    </w:tbl>
    <w:p w:rsidR="00FB6756" w:rsidP="00FB6756">
      <w:pPr>
        <w:tabs>
          <w:tab w:val="left" w:pos="540"/>
          <w:tab w:val="left" w:pos="1134"/>
        </w:tabs>
        <w:bidi w:val="0"/>
        <w:jc w:val="both"/>
        <w:rPr>
          <w:b/>
        </w:rPr>
      </w:pPr>
      <w:r w:rsidRPr="00B36DD3">
        <w:rPr>
          <w:b/>
          <w:rtl w:val="0"/>
          <w:lang w:val="en"/>
        </w:rPr>
        <w:t>The resolution was adopted.</w:t>
      </w:r>
    </w:p>
    <w:p w:rsidR="00FB6756" w:rsidP="00FB6756">
      <w:pPr>
        <w:widowControl w:val="0"/>
        <w:suppressAutoHyphens/>
        <w:rPr>
          <w:b/>
          <w:highlight w:val="yellow"/>
        </w:rPr>
      </w:pPr>
    </w:p>
    <w:p w:rsidR="00FB6756" w:rsidP="00FB6756">
      <w:pPr>
        <w:widowControl w:val="0"/>
        <w:suppressAutoHyphens/>
        <w:rPr>
          <w:b/>
          <w:highlight w:val="yellow"/>
        </w:rPr>
      </w:pPr>
    </w:p>
    <w:p w:rsidR="00FB6756" w:rsidRPr="005F0F0B" w:rsidP="00FB6756">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No.7: </w:t>
      </w:r>
      <w:r w:rsidRPr="00544D1A">
        <w:rPr>
          <w:rFonts w:eastAsia="Calibri"/>
          <w:b/>
          <w:rtl w:val="0"/>
          <w:lang w:val="en"/>
        </w:rPr>
        <w:t>On determining the date of sending voting ballots to persons entitled to participate in the Annual General Meeting of Shareholders, the address to which completed voting ballots may be sent, and the deadline for accepting completed ballots.</w:t>
      </w:r>
    </w:p>
    <w:p w:rsidR="00FB6756" w:rsidP="00FB6756">
      <w:pPr>
        <w:widowControl w:val="0"/>
        <w:tabs>
          <w:tab w:val="left" w:pos="709"/>
          <w:tab w:val="left" w:pos="851"/>
          <w:tab w:val="left" w:pos="993"/>
          <w:tab w:val="left" w:pos="1134"/>
        </w:tabs>
        <w:bidi w:val="0"/>
        <w:jc w:val="both"/>
        <w:rPr>
          <w:b/>
        </w:rPr>
      </w:pPr>
      <w:r w:rsidRPr="00BE449A">
        <w:rPr>
          <w:b/>
          <w:rtl w:val="0"/>
          <w:lang w:val="en"/>
        </w:rPr>
        <w:t>DECISION:</w:t>
      </w:r>
    </w:p>
    <w:p w:rsidR="00FB6756" w:rsidRPr="002A3A45" w:rsidP="00FB6756">
      <w:pPr>
        <w:tabs>
          <w:tab w:val="left" w:pos="1134"/>
        </w:tabs>
        <w:bidi w:val="0"/>
        <w:ind w:firstLine="567"/>
        <w:jc w:val="both"/>
        <w:rPr>
          <w:bCs/>
        </w:rPr>
      </w:pPr>
      <w:r w:rsidRPr="002A3A45">
        <w:rPr>
          <w:bCs/>
          <w:rtl w:val="0"/>
          <w:lang w:val="en"/>
        </w:rPr>
        <w:t xml:space="preserve">1. Determine that voting ballots shall be sent by a simple letter to persons entitled to participate at the Annual General Meeting of the Company Shareholders (hereinafter referred to as the Meeting), no later than May 26, 2022. </w:t>
      </w:r>
    </w:p>
    <w:p w:rsidR="00FB6756" w:rsidRPr="002A3A45" w:rsidP="00FB6756">
      <w:pPr>
        <w:tabs>
          <w:tab w:val="left" w:pos="1134"/>
        </w:tabs>
        <w:bidi w:val="0"/>
        <w:ind w:firstLine="567"/>
        <w:jc w:val="both"/>
        <w:rPr>
          <w:bCs/>
        </w:rPr>
      </w:pPr>
      <w:r w:rsidRPr="002A3A45">
        <w:rPr>
          <w:bCs/>
          <w:rtl w:val="0"/>
          <w:lang w:val="en"/>
        </w:rPr>
        <w:t>The ballot papers in electronic form (in the form of electronic documents) shall be sent no later than May 26, 2022, to the registrar of NRC - R.O.S.T. JSC for sending to nominee holders registered in the Company's shareholder register.</w:t>
      </w:r>
    </w:p>
    <w:p w:rsidR="00FB6756" w:rsidRPr="002A3A45" w:rsidP="00FB6756">
      <w:pPr>
        <w:tabs>
          <w:tab w:val="left" w:pos="1134"/>
        </w:tabs>
        <w:bidi w:val="0"/>
        <w:ind w:firstLine="567"/>
        <w:jc w:val="both"/>
        <w:rPr>
          <w:bCs/>
        </w:rPr>
      </w:pPr>
      <w:r w:rsidRPr="002A3A45">
        <w:rPr>
          <w:bCs/>
          <w:rtl w:val="0"/>
          <w:lang w:val="en"/>
        </w:rPr>
        <w:t>2. Determine that completed ballot papers may be sent to one of the following addresses:</w:t>
      </w:r>
    </w:p>
    <w:p w:rsidR="00FB6756" w:rsidRPr="002A3A45" w:rsidP="00FB6756">
      <w:pPr>
        <w:tabs>
          <w:tab w:val="left" w:pos="1134"/>
        </w:tabs>
        <w:bidi w:val="0"/>
        <w:ind w:firstLine="567"/>
        <w:jc w:val="both"/>
        <w:rPr>
          <w:bCs/>
        </w:rPr>
      </w:pPr>
      <w:r w:rsidRPr="002A3A45">
        <w:rPr>
          <w:bCs/>
          <w:rtl w:val="0"/>
          <w:lang w:val="en"/>
        </w:rPr>
        <w:t>- Rosseti South PJSC, 49 Bolshaya Sadovaya St., Rostov-on-don, 344002, Russian Federation</w:t>
      </w:r>
    </w:p>
    <w:p w:rsidR="00FB6756" w:rsidRPr="002A3A45" w:rsidP="00FB6756">
      <w:pPr>
        <w:tabs>
          <w:tab w:val="left" w:pos="1134"/>
        </w:tabs>
        <w:bidi w:val="0"/>
        <w:ind w:firstLine="567"/>
        <w:jc w:val="both"/>
        <w:rPr>
          <w:bCs/>
        </w:rPr>
      </w:pPr>
      <w:r w:rsidRPr="002A3A45">
        <w:rPr>
          <w:bCs/>
          <w:rtl w:val="0"/>
          <w:lang w:val="en"/>
        </w:rPr>
        <w:t>IRC-R.O.S.T. JSC (Company's registrar), bldg.18, block 5B, Stromynka St., Moscow, 107996, Russian Federation</w:t>
      </w:r>
    </w:p>
    <w:p w:rsidR="00FB6756" w:rsidRPr="002A3A45" w:rsidP="00FB6756">
      <w:pPr>
        <w:tabs>
          <w:tab w:val="left" w:pos="1134"/>
        </w:tabs>
        <w:bidi w:val="0"/>
        <w:ind w:firstLine="567"/>
        <w:jc w:val="both"/>
        <w:rPr>
          <w:bCs/>
        </w:rPr>
      </w:pPr>
      <w:r w:rsidRPr="002A3A45">
        <w:rPr>
          <w:bCs/>
          <w:rtl w:val="0"/>
          <w:lang w:val="en"/>
        </w:rPr>
        <w:t>3. Determine the following website address in the information and telecommunications network "Internet" for filling out the electronic form of ballot papers - https://lk.rrost.ru/.</w:t>
      </w:r>
    </w:p>
    <w:p w:rsidR="00FB6756" w:rsidRPr="002A3A45" w:rsidP="00FB6756">
      <w:pPr>
        <w:tabs>
          <w:tab w:val="left" w:pos="1134"/>
        </w:tabs>
        <w:bidi w:val="0"/>
        <w:ind w:firstLine="567"/>
        <w:jc w:val="both"/>
        <w:rPr>
          <w:bCs/>
        </w:rPr>
      </w:pPr>
      <w:r w:rsidRPr="002A3A45">
        <w:rPr>
          <w:bCs/>
          <w:rtl w:val="0"/>
          <w:lang w:val="en"/>
        </w:rPr>
        <w:t>4. When determining the quorum of the Meeting and summing up the results of voting, the votes submitted by the ballots received or the electronic form of which is filled in on the website specified in the notice of the Meeting in the information and telecommunication network "Internet" before June 16, 2022 shall be taken into account.</w:t>
      </w:r>
    </w:p>
    <w:p w:rsidR="00FB6756" w:rsidRPr="002A3A45" w:rsidP="00FB6756">
      <w:pPr>
        <w:tabs>
          <w:tab w:val="left" w:pos="1134"/>
        </w:tabs>
        <w:bidi w:val="0"/>
        <w:ind w:firstLine="567"/>
        <w:jc w:val="both"/>
        <w:rPr>
          <w:bCs/>
        </w:rPr>
      </w:pPr>
      <w:r w:rsidRPr="002A3A45">
        <w:rPr>
          <w:bCs/>
          <w:rtl w:val="0"/>
          <w:lang w:val="en"/>
        </w:rPr>
        <w:t>The shareholders who, in accordance with the rules of the securities legislation of the Russian Federation, gave instructions (instructions) on voting to the persons registering their rights to the shares, shall also be deemed to have taken part in the Meeting if notices of their will are received before the deadline for accepting ballots.</w:t>
      </w:r>
    </w:p>
    <w:p w:rsidR="00FB6756" w:rsidP="00FB6756">
      <w:pPr>
        <w:tabs>
          <w:tab w:val="left" w:pos="1134"/>
        </w:tabs>
        <w:bidi w:val="0"/>
        <w:ind w:firstLine="567"/>
        <w:jc w:val="both"/>
        <w:rPr>
          <w:bCs/>
        </w:rPr>
      </w:pPr>
      <w:r w:rsidRPr="002A3A45">
        <w:rPr>
          <w:bCs/>
          <w:rtl w:val="0"/>
          <w:lang w:val="en"/>
        </w:rPr>
        <w:t>5. Instruct the Sole Executive Body of the Company to ensure that ballot papers are sent to the Company's shareholders in accordance with this resolution.</w:t>
      </w:r>
    </w:p>
    <w:p w:rsidR="00FB6756" w:rsidRPr="0016141B" w:rsidP="00FB6756">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D.V. Krainsky</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bidi w:val="0"/>
              <w:ind w:right="-90"/>
              <w:jc w:val="both"/>
              <w:rPr>
                <w:sz w:val="24"/>
                <w:szCs w:val="24"/>
              </w:rPr>
            </w:pPr>
            <w:r w:rsidRPr="0016141B">
              <w:rPr>
                <w:sz w:val="24"/>
                <w:szCs w:val="24"/>
                <w:rtl w:val="0"/>
                <w:lang w:val="en"/>
              </w:rPr>
              <w:t>M.V. Korotkova</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shd w:val="clear" w:color="auto" w:fill="auto"/>
          </w:tcPr>
          <w:p w:rsidR="00FB6756" w:rsidRPr="0016141B" w:rsidP="00FF184A">
            <w:pPr>
              <w:pStyle w:val="BodyText"/>
              <w:widowControl w:val="0"/>
              <w:bidi w:val="0"/>
              <w:ind w:right="-90"/>
              <w:jc w:val="both"/>
              <w:rPr>
                <w:sz w:val="24"/>
                <w:szCs w:val="24"/>
              </w:rPr>
            </w:pPr>
            <w:r w:rsidRPr="0016141B">
              <w:rPr>
                <w:sz w:val="24"/>
                <w:szCs w:val="24"/>
                <w:rtl w:val="0"/>
                <w:lang w:val="en"/>
              </w:rPr>
              <w:t>P.V. Grebtsov</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shd w:val="clear" w:color="auto" w:fill="auto"/>
          </w:tcPr>
          <w:p w:rsidR="00FB6756" w:rsidRPr="0016141B" w:rsidP="00FF184A">
            <w:pPr>
              <w:pStyle w:val="BodyText"/>
              <w:widowControl w:val="0"/>
              <w:bidi w:val="0"/>
              <w:ind w:right="-90"/>
              <w:jc w:val="both"/>
              <w:rPr>
                <w:sz w:val="24"/>
                <w:szCs w:val="24"/>
              </w:rPr>
            </w:pPr>
            <w:r w:rsidRPr="0016141B">
              <w:rPr>
                <w:sz w:val="24"/>
                <w:szCs w:val="24"/>
                <w:rtl w:val="0"/>
                <w:lang w:val="en"/>
              </w:rPr>
              <w:t>V.Yu. Zarkhin</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300AD1" w:rsidP="00FF184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73" w:type="pct"/>
          </w:tcPr>
          <w:p w:rsidR="00FB6756" w:rsidRPr="0016141B" w:rsidP="00FF184A">
            <w:pPr>
              <w:pStyle w:val="BodyText"/>
              <w:widowControl w:val="0"/>
              <w:bidi w:val="0"/>
              <w:ind w:right="-208"/>
              <w:jc w:val="both"/>
              <w:rPr>
                <w:b/>
                <w:bCs/>
                <w:sz w:val="24"/>
                <w:szCs w:val="24"/>
              </w:rPr>
            </w:pPr>
            <w:r w:rsidRPr="0016141B">
              <w:rPr>
                <w:b/>
                <w:bCs/>
                <w:sz w:val="24"/>
                <w:szCs w:val="24"/>
                <w:rtl w:val="0"/>
                <w:lang w:val="en"/>
              </w:rPr>
              <w:t>"FOR"</w:t>
            </w:r>
          </w:p>
        </w:tc>
      </w:tr>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A.I. Kazakov</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FB6756" w:rsidP="00FF184A">
            <w:pPr>
              <w:tabs>
                <w:tab w:val="left" w:pos="1134"/>
              </w:tabs>
              <w:jc w:val="both"/>
              <w:rPr>
                <w:highlight w:val="yellow"/>
              </w:rPr>
            </w:pPr>
          </w:p>
        </w:tc>
        <w:tc>
          <w:tcPr>
            <w:tcW w:w="150" w:type="pct"/>
          </w:tcPr>
          <w:p w:rsidR="00FB6756" w:rsidRPr="00FB6756" w:rsidP="00FF184A">
            <w:pPr>
              <w:tabs>
                <w:tab w:val="left" w:pos="1134"/>
              </w:tabs>
              <w:jc w:val="both"/>
              <w:rPr>
                <w:b/>
                <w:bCs/>
                <w:highlight w:val="yellow"/>
              </w:rPr>
            </w:pPr>
          </w:p>
        </w:tc>
        <w:tc>
          <w:tcPr>
            <w:tcW w:w="1273" w:type="pct"/>
          </w:tcPr>
          <w:p w:rsidR="00FB6756" w:rsidRPr="00FB6756" w:rsidP="00FF184A">
            <w:pPr>
              <w:tabs>
                <w:tab w:val="left" w:pos="1134"/>
              </w:tabs>
              <w:jc w:val="both"/>
              <w:rPr>
                <w:b/>
                <w:bCs/>
                <w:highlight w:val="yellow"/>
              </w:rPr>
            </w:pPr>
          </w:p>
        </w:tc>
      </w:tr>
      <w:tr w:rsidTr="00FF184A">
        <w:tblPrEx>
          <w:tblW w:w="5133" w:type="pct"/>
          <w:tblInd w:w="-142" w:type="dxa"/>
          <w:tblLayout w:type="fixed"/>
          <w:tblLook w:val="0000"/>
        </w:tblPrEx>
        <w:tc>
          <w:tcPr>
            <w:tcW w:w="1134" w:type="pct"/>
          </w:tcPr>
          <w:p w:rsidR="00FB6756" w:rsidRPr="0016141B" w:rsidP="00FF184A">
            <w:pPr>
              <w:pStyle w:val="BodyText"/>
              <w:widowControl w:val="0"/>
              <w:bidi w:val="0"/>
              <w:ind w:right="-90"/>
              <w:jc w:val="both"/>
              <w:rPr>
                <w:sz w:val="24"/>
                <w:szCs w:val="24"/>
              </w:rPr>
            </w:pPr>
            <w:r w:rsidRPr="0016141B">
              <w:rPr>
                <w:sz w:val="24"/>
                <w:szCs w:val="24"/>
                <w:rtl w:val="0"/>
                <w:lang w:val="en"/>
              </w:rPr>
              <w:t>O.Yu. Klinkov</w:t>
            </w:r>
          </w:p>
        </w:tc>
        <w:tc>
          <w:tcPr>
            <w:tcW w:w="196" w:type="pct"/>
          </w:tcPr>
          <w:p w:rsidR="00FB6756" w:rsidRPr="0016141B" w:rsidP="00FF184A">
            <w:pPr>
              <w:pStyle w:val="BodyText"/>
              <w:widowControl w:val="0"/>
              <w:bidi w:val="0"/>
              <w:jc w:val="both"/>
              <w:rPr>
                <w:b/>
                <w:bCs/>
                <w:sz w:val="24"/>
                <w:szCs w:val="24"/>
              </w:rPr>
            </w:pPr>
            <w:r w:rsidRPr="0016141B">
              <w:rPr>
                <w:b/>
                <w:bCs/>
                <w:sz w:val="24"/>
                <w:szCs w:val="24"/>
                <w:rtl w:val="0"/>
                <w:lang w:val="en"/>
              </w:rPr>
              <w:t>-</w:t>
            </w:r>
          </w:p>
        </w:tc>
        <w:tc>
          <w:tcPr>
            <w:tcW w:w="1201" w:type="pct"/>
          </w:tcPr>
          <w:p w:rsidR="00FB6756" w:rsidRPr="0016141B" w:rsidP="00FF184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FB6756" w:rsidRPr="0016141B" w:rsidP="00FF184A">
            <w:pPr>
              <w:pStyle w:val="BodyText"/>
              <w:widowControl w:val="0"/>
              <w:ind w:right="-90"/>
              <w:jc w:val="both"/>
              <w:rPr>
                <w:sz w:val="24"/>
                <w:szCs w:val="24"/>
              </w:rPr>
            </w:pPr>
          </w:p>
        </w:tc>
        <w:tc>
          <w:tcPr>
            <w:tcW w:w="150" w:type="pct"/>
          </w:tcPr>
          <w:p w:rsidR="00FB6756" w:rsidRPr="0016141B" w:rsidP="00FF184A">
            <w:pPr>
              <w:pStyle w:val="BodyText"/>
              <w:widowControl w:val="0"/>
              <w:jc w:val="both"/>
              <w:rPr>
                <w:b/>
                <w:bCs/>
                <w:sz w:val="24"/>
                <w:szCs w:val="24"/>
              </w:rPr>
            </w:pPr>
          </w:p>
        </w:tc>
        <w:tc>
          <w:tcPr>
            <w:tcW w:w="1273" w:type="pct"/>
          </w:tcPr>
          <w:p w:rsidR="00FB6756" w:rsidRPr="0016141B" w:rsidP="00FF184A">
            <w:pPr>
              <w:pStyle w:val="BodyText"/>
              <w:widowControl w:val="0"/>
              <w:ind w:right="-208"/>
              <w:jc w:val="both"/>
              <w:rPr>
                <w:b/>
                <w:bCs/>
                <w:sz w:val="24"/>
                <w:szCs w:val="24"/>
              </w:rPr>
            </w:pPr>
          </w:p>
        </w:tc>
      </w:tr>
    </w:tbl>
    <w:p w:rsidR="00FB6756" w:rsidP="00FB6756">
      <w:pPr>
        <w:tabs>
          <w:tab w:val="left" w:pos="540"/>
          <w:tab w:val="left" w:pos="1134"/>
        </w:tabs>
        <w:bidi w:val="0"/>
        <w:jc w:val="both"/>
        <w:rPr>
          <w:b/>
        </w:rPr>
      </w:pPr>
      <w:r w:rsidRPr="00B36DD3">
        <w:rPr>
          <w:b/>
          <w:rtl w:val="0"/>
          <w:lang w:val="en"/>
        </w:rPr>
        <w:t>The resolution was adopted.</w:t>
      </w:r>
    </w:p>
    <w:p w:rsidR="00FB6756" w:rsidP="001E114B">
      <w:pPr>
        <w:widowControl w:val="0"/>
        <w:suppressAutoHyphens/>
        <w:rPr>
          <w:b/>
          <w:highlight w:val="yellow"/>
        </w:rPr>
      </w:pPr>
    </w:p>
    <w:p w:rsidR="005C0314" w:rsidRPr="005C0314" w:rsidP="005C0314">
      <w:pPr>
        <w:widowControl w:val="0"/>
        <w:suppressAutoHyphens/>
        <w:bidi w:val="0"/>
        <w:ind w:firstLine="567"/>
        <w:jc w:val="both"/>
        <w:rPr>
          <w:i/>
        </w:rPr>
      </w:pPr>
      <w:r w:rsidRPr="005C0314">
        <w:rPr>
          <w:i/>
          <w:rtl w:val="0"/>
          <w:lang w:val="en"/>
        </w:rPr>
        <w:t>On item No. 2 of the agenda of this meeting of the Company's Board of Directors, a dissenting opinion was received from a member of the Company's Board of Directors, Zarkhin Vitaly Yuryevich: “I consider it necessary to direct profits to reduce debt.”</w:t>
      </w:r>
    </w:p>
    <w:p w:rsidR="001E114B" w:rsidP="004D6DE0">
      <w:pPr>
        <w:widowControl w:val="0"/>
        <w:tabs>
          <w:tab w:val="left" w:pos="709"/>
          <w:tab w:val="left" w:pos="851"/>
          <w:tab w:val="left" w:pos="993"/>
          <w:tab w:val="left" w:pos="1134"/>
        </w:tabs>
        <w:jc w:val="both"/>
        <w:rPr>
          <w:b/>
          <w:caps/>
        </w:rPr>
      </w:pPr>
    </w:p>
    <w:p w:rsidR="005C0314" w:rsidP="004D6DE0">
      <w:pPr>
        <w:widowControl w:val="0"/>
        <w:tabs>
          <w:tab w:val="left" w:pos="709"/>
          <w:tab w:val="left" w:pos="851"/>
          <w:tab w:val="left" w:pos="993"/>
          <w:tab w:val="left" w:pos="1134"/>
        </w:tabs>
        <w:jc w:val="both"/>
        <w:rPr>
          <w:b/>
          <w:caps/>
        </w:rPr>
      </w:pPr>
    </w:p>
    <w:p w:rsidR="005C0314"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183AEC">
          <w:rPr>
            <w:noProof/>
          </w:rPr>
          <w:t>4</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6"/>
  </w:num>
  <w:num w:numId="3">
    <w:abstractNumId w:val="10"/>
  </w:num>
  <w:num w:numId="4">
    <w:abstractNumId w:val="12"/>
  </w:num>
  <w:num w:numId="5">
    <w:abstractNumId w:val="9"/>
  </w:num>
  <w:num w:numId="6">
    <w:abstractNumId w:val="13"/>
  </w:num>
  <w:num w:numId="7">
    <w:abstractNumId w:val="2"/>
  </w:num>
  <w:num w:numId="8">
    <w:abstractNumId w:val="11"/>
  </w:num>
  <w:num w:numId="9">
    <w:abstractNumId w:val="3"/>
  </w:num>
  <w:num w:numId="10">
    <w:abstractNumId w:val="7"/>
  </w:num>
  <w:num w:numId="11">
    <w:abstractNumId w:val="1"/>
  </w:num>
  <w:num w:numId="12">
    <w:abstractNumId w:val="4"/>
  </w:num>
  <w:num w:numId="13">
    <w:abstractNumId w:val="5"/>
  </w:num>
  <w:num w:numId="14">
    <w:abstractNumId w:val="8"/>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3AEC"/>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3A45"/>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4DD"/>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AA5"/>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5D5B"/>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0F0B"/>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49B"/>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3DF"/>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53D1"/>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6F46"/>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127"/>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EA7"/>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84A"/>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E906-0475-4DC9-A1DC-3D3BBC0E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1206</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143</cp:revision>
  <cp:lastPrinted>2021-10-22T10:53:00Z</cp:lastPrinted>
  <dcterms:created xsi:type="dcterms:W3CDTF">2021-10-22T10:53:00Z</dcterms:created>
  <dcterms:modified xsi:type="dcterms:W3CDTF">2022-06-03T10:32:00Z</dcterms:modified>
</cp:coreProperties>
</file>